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4D" w:rsidRDefault="00F0234D" w:rsidP="00F0234D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424242"/>
          <w:sz w:val="30"/>
          <w:szCs w:val="30"/>
        </w:rPr>
      </w:pPr>
      <w:r>
        <w:rPr>
          <w:rFonts w:ascii="Arial" w:eastAsia="Times New Roman" w:hAnsi="Arial" w:cs="Arial"/>
          <w:b/>
          <w:noProof/>
          <w:color w:val="6C706F"/>
          <w:sz w:val="28"/>
          <w:szCs w:val="28"/>
          <w:bdr w:val="none" w:sz="0" w:space="0" w:color="auto" w:frame="1"/>
        </w:rPr>
        <w:drawing>
          <wp:inline distT="0" distB="0" distL="0" distR="0" wp14:anchorId="69F6A932" wp14:editId="36C5CD1D">
            <wp:extent cx="4946650" cy="1289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4D" w:rsidRDefault="00F0234D" w:rsidP="00F0234D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424242"/>
          <w:sz w:val="30"/>
          <w:szCs w:val="30"/>
        </w:rPr>
      </w:pPr>
    </w:p>
    <w:p w:rsidR="00F0234D" w:rsidRDefault="00F0234D" w:rsidP="00F0234D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424242"/>
          <w:sz w:val="30"/>
          <w:szCs w:val="30"/>
        </w:rPr>
      </w:pPr>
      <w:bookmarkStart w:id="0" w:name="_GoBack"/>
      <w:bookmarkEnd w:id="0"/>
    </w:p>
    <w:p w:rsidR="00F0234D" w:rsidRPr="00DD66EF" w:rsidRDefault="00F0234D" w:rsidP="00F0234D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424242"/>
          <w:sz w:val="30"/>
          <w:szCs w:val="30"/>
        </w:rPr>
      </w:pPr>
      <w:r w:rsidRPr="00DD66EF">
        <w:rPr>
          <w:rFonts w:ascii="Arial" w:eastAsia="Times New Roman" w:hAnsi="Arial" w:cs="Arial"/>
          <w:b/>
          <w:bCs/>
          <w:color w:val="424242"/>
          <w:sz w:val="30"/>
          <w:szCs w:val="30"/>
        </w:rPr>
        <w:t>What is Moving to Work (</w:t>
      </w:r>
      <w:proofErr w:type="spellStart"/>
      <w:r w:rsidRPr="00DD66EF">
        <w:rPr>
          <w:rFonts w:ascii="Arial" w:eastAsia="Times New Roman" w:hAnsi="Arial" w:cs="Arial"/>
          <w:b/>
          <w:bCs/>
          <w:color w:val="424242"/>
          <w:sz w:val="30"/>
          <w:szCs w:val="30"/>
        </w:rPr>
        <w:t>MtW</w:t>
      </w:r>
      <w:proofErr w:type="spellEnd"/>
      <w:r w:rsidRPr="00DD66EF">
        <w:rPr>
          <w:rFonts w:ascii="Arial" w:eastAsia="Times New Roman" w:hAnsi="Arial" w:cs="Arial"/>
          <w:b/>
          <w:bCs/>
          <w:color w:val="424242"/>
          <w:sz w:val="30"/>
          <w:szCs w:val="30"/>
        </w:rPr>
        <w:t>) Designation?</w:t>
      </w:r>
    </w:p>
    <w:p w:rsidR="00F0234D" w:rsidRPr="00DD66EF" w:rsidRDefault="00F0234D" w:rsidP="00F0234D">
      <w:pPr>
        <w:spacing w:after="0" w:line="396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AHA</w:t>
      </w:r>
      <w:r w:rsidRPr="00DD66EF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has been selected to participate in the United States Department of Housing and Urban Development (HUD) cohort #1 of the Moving to Work expansion. Participation in the </w:t>
      </w:r>
      <w:proofErr w:type="spellStart"/>
      <w:r w:rsidRPr="00DD66EF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MtW</w:t>
      </w:r>
      <w:proofErr w:type="spellEnd"/>
      <w:r w:rsidRPr="00DD66EF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expansion allows 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AHA</w:t>
      </w:r>
      <w:r w:rsidRPr="00DD66EF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to develop local policies to meet </w:t>
      </w:r>
      <w:proofErr w:type="spellStart"/>
      <w:r w:rsidRPr="00DD66EF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MtW</w:t>
      </w:r>
      <w:proofErr w:type="spellEnd"/>
      <w:r w:rsidRPr="00DD66EF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objectives, as well a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s flexibility on some spending. If AHA is designated as a MTW agency, it will affect everyone receiving assistance from AHA. </w:t>
      </w:r>
    </w:p>
    <w:p w:rsidR="00F0234D" w:rsidRPr="00DD66EF" w:rsidRDefault="00F0234D" w:rsidP="00F0234D">
      <w:pPr>
        <w:spacing w:after="0" w:line="396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DD66EF">
        <w:rPr>
          <w:rFonts w:ascii="Arial" w:eastAsia="Times New Roman" w:hAnsi="Arial" w:cs="Arial"/>
          <w:b/>
          <w:bCs/>
          <w:color w:val="377D96"/>
          <w:sz w:val="23"/>
          <w:szCs w:val="23"/>
          <w:bdr w:val="none" w:sz="0" w:space="0" w:color="auto" w:frame="1"/>
        </w:rPr>
        <w:t>What Moving to Work Designation IS:</w:t>
      </w:r>
    </w:p>
    <w:p w:rsidR="00F0234D" w:rsidRPr="00DD66EF" w:rsidRDefault="00F0234D" w:rsidP="00F0234D">
      <w:pPr>
        <w:numPr>
          <w:ilvl w:val="0"/>
          <w:numId w:val="5"/>
        </w:numPr>
        <w:spacing w:after="0" w:line="396" w:lineRule="atLeast"/>
        <w:ind w:left="345" w:firstLine="0"/>
        <w:textAlignment w:val="baseline"/>
        <w:rPr>
          <w:rFonts w:ascii="Arial" w:eastAsia="Times New Roman" w:hAnsi="Arial" w:cs="Arial"/>
          <w:sz w:val="23"/>
          <w:szCs w:val="23"/>
        </w:rPr>
      </w:pPr>
      <w:r w:rsidRPr="00DD66EF">
        <w:rPr>
          <w:rFonts w:ascii="Arial" w:eastAsia="Times New Roman" w:hAnsi="Arial" w:cs="Arial"/>
          <w:sz w:val="23"/>
          <w:szCs w:val="23"/>
        </w:rPr>
        <w:t xml:space="preserve">Opportunities for </w:t>
      </w:r>
      <w:r>
        <w:rPr>
          <w:rFonts w:ascii="Arial" w:eastAsia="Times New Roman" w:hAnsi="Arial" w:cs="Arial"/>
          <w:sz w:val="23"/>
          <w:szCs w:val="23"/>
        </w:rPr>
        <w:t>AHA</w:t>
      </w:r>
      <w:r w:rsidRPr="00DD66EF">
        <w:rPr>
          <w:rFonts w:ascii="Arial" w:eastAsia="Times New Roman" w:hAnsi="Arial" w:cs="Arial"/>
          <w:sz w:val="23"/>
          <w:szCs w:val="23"/>
        </w:rPr>
        <w:t xml:space="preserve"> and HUD to design and test approaches for providing and administering housing assistance.</w:t>
      </w:r>
    </w:p>
    <w:p w:rsidR="00F0234D" w:rsidRPr="00DD66EF" w:rsidRDefault="00F0234D" w:rsidP="00F0234D">
      <w:pPr>
        <w:numPr>
          <w:ilvl w:val="0"/>
          <w:numId w:val="5"/>
        </w:numPr>
        <w:spacing w:after="0" w:line="396" w:lineRule="atLeast"/>
        <w:ind w:left="345" w:firstLine="0"/>
        <w:textAlignment w:val="baseline"/>
        <w:rPr>
          <w:rFonts w:ascii="Arial" w:eastAsia="Times New Roman" w:hAnsi="Arial" w:cs="Arial"/>
          <w:sz w:val="23"/>
          <w:szCs w:val="23"/>
        </w:rPr>
      </w:pPr>
      <w:r w:rsidRPr="00DD66EF">
        <w:rPr>
          <w:rFonts w:ascii="Arial" w:eastAsia="Times New Roman" w:hAnsi="Arial" w:cs="Arial"/>
          <w:sz w:val="23"/>
          <w:szCs w:val="23"/>
        </w:rPr>
        <w:t xml:space="preserve">Opportunities to hear directly from residents and participants about what barriers exist within existing housing policies and requirements. </w:t>
      </w:r>
      <w:proofErr w:type="spellStart"/>
      <w:r w:rsidRPr="00DD66EF">
        <w:rPr>
          <w:rFonts w:ascii="Arial" w:eastAsia="Times New Roman" w:hAnsi="Arial" w:cs="Arial"/>
          <w:sz w:val="23"/>
          <w:szCs w:val="23"/>
        </w:rPr>
        <w:t>MtW</w:t>
      </w:r>
      <w:proofErr w:type="spellEnd"/>
      <w:r w:rsidRPr="00DD66EF">
        <w:rPr>
          <w:rFonts w:ascii="Arial" w:eastAsia="Times New Roman" w:hAnsi="Arial" w:cs="Arial"/>
          <w:sz w:val="23"/>
          <w:szCs w:val="23"/>
        </w:rPr>
        <w:t xml:space="preserve"> provides flexibility on spending and policy-making to make changes to better expand housing choice and participant self-sufficiency.</w:t>
      </w:r>
    </w:p>
    <w:p w:rsidR="00F0234D" w:rsidRDefault="00F0234D" w:rsidP="00F0234D"/>
    <w:p w:rsidR="00F0234D" w:rsidRPr="00DD66EF" w:rsidRDefault="00F0234D" w:rsidP="00F023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706F"/>
          <w:sz w:val="23"/>
          <w:szCs w:val="23"/>
        </w:rPr>
      </w:pPr>
      <w:r w:rsidRPr="00DD66EF">
        <w:rPr>
          <w:rFonts w:ascii="Arial" w:eastAsia="Times New Roman" w:hAnsi="Arial" w:cs="Arial"/>
          <w:b/>
          <w:bCs/>
          <w:color w:val="377D96"/>
          <w:sz w:val="23"/>
          <w:szCs w:val="23"/>
          <w:bdr w:val="none" w:sz="0" w:space="0" w:color="auto" w:frame="1"/>
        </w:rPr>
        <w:t>What Moving to Work Designation is NOT: </w:t>
      </w:r>
    </w:p>
    <w:p w:rsidR="00F0234D" w:rsidRPr="00DD66EF" w:rsidRDefault="00F0234D" w:rsidP="00F0234D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6C706F"/>
          <w:sz w:val="23"/>
          <w:szCs w:val="23"/>
        </w:rPr>
      </w:pPr>
      <w:r w:rsidRPr="00DD66EF">
        <w:rPr>
          <w:rFonts w:ascii="inherit" w:eastAsia="Times New Roman" w:hAnsi="inherit" w:cs="Arial"/>
          <w:i/>
          <w:iCs/>
          <w:color w:val="6C706F"/>
          <w:sz w:val="23"/>
          <w:szCs w:val="23"/>
          <w:bdr w:val="none" w:sz="0" w:space="0" w:color="auto" w:frame="1"/>
        </w:rPr>
        <w:t>MTW does not mean less oversight and transparency.</w:t>
      </w:r>
      <w:r w:rsidRPr="00DD66EF">
        <w:rPr>
          <w:rFonts w:ascii="Arial" w:eastAsia="Times New Roman" w:hAnsi="Arial" w:cs="Arial"/>
          <w:color w:val="6C706F"/>
          <w:sz w:val="23"/>
          <w:szCs w:val="23"/>
        </w:rPr>
        <w:t> </w:t>
      </w:r>
      <w:proofErr w:type="spellStart"/>
      <w:r w:rsidRPr="00DD66EF">
        <w:rPr>
          <w:rFonts w:ascii="Arial" w:eastAsia="Times New Roman" w:hAnsi="Arial" w:cs="Arial"/>
          <w:color w:val="6C706F"/>
          <w:sz w:val="23"/>
          <w:szCs w:val="23"/>
        </w:rPr>
        <w:t>MtW</w:t>
      </w:r>
      <w:proofErr w:type="spellEnd"/>
      <w:r w:rsidRPr="00DD66EF">
        <w:rPr>
          <w:rFonts w:ascii="Arial" w:eastAsia="Times New Roman" w:hAnsi="Arial" w:cs="Arial"/>
          <w:color w:val="6C706F"/>
          <w:sz w:val="23"/>
          <w:szCs w:val="23"/>
        </w:rPr>
        <w:t xml:space="preserve"> agencies remain subject to the full range of HUD monitoring, oversight, and evaluation efforts. Public comment, input from residents and participants, and community collaboration is requested throughout the process.</w:t>
      </w:r>
      <w:r w:rsidRPr="00DD66EF">
        <w:rPr>
          <w:rFonts w:ascii="Arial" w:eastAsia="Times New Roman" w:hAnsi="Arial" w:cs="Arial"/>
          <w:color w:val="6C706F"/>
          <w:sz w:val="23"/>
          <w:szCs w:val="23"/>
        </w:rPr>
        <w:br/>
        <w:t>HRHA adopts local policies and program changes –&gt; HUD evaluates the overall impacts of the changes.</w:t>
      </w:r>
    </w:p>
    <w:p w:rsidR="00F0234D" w:rsidRPr="00DD66EF" w:rsidRDefault="00F0234D" w:rsidP="00F0234D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6C706F"/>
          <w:sz w:val="23"/>
          <w:szCs w:val="23"/>
        </w:rPr>
      </w:pPr>
      <w:r w:rsidRPr="00DD66EF">
        <w:rPr>
          <w:rFonts w:ascii="inherit" w:eastAsia="Times New Roman" w:hAnsi="inherit" w:cs="Arial"/>
          <w:i/>
          <w:iCs/>
          <w:color w:val="6C706F"/>
          <w:sz w:val="23"/>
          <w:szCs w:val="23"/>
          <w:bdr w:val="none" w:sz="0" w:space="0" w:color="auto" w:frame="1"/>
        </w:rPr>
        <w:t>MTW does not include program-wide employment requirements</w:t>
      </w:r>
      <w:r w:rsidRPr="00DD66EF">
        <w:rPr>
          <w:rFonts w:ascii="Arial" w:eastAsia="Times New Roman" w:hAnsi="Arial" w:cs="Arial"/>
          <w:color w:val="6C706F"/>
          <w:sz w:val="23"/>
          <w:szCs w:val="23"/>
        </w:rPr>
        <w:t>! While we will aim to increase opportunities for resident and participant self-sufficiency we are NOT pursuing program-wide employment requirements.</w:t>
      </w:r>
    </w:p>
    <w:p w:rsidR="00F0234D" w:rsidRPr="00DD66EF" w:rsidRDefault="00F0234D" w:rsidP="00F0234D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6C706F"/>
          <w:sz w:val="23"/>
          <w:szCs w:val="23"/>
        </w:rPr>
      </w:pPr>
      <w:r w:rsidRPr="00DD66EF">
        <w:rPr>
          <w:rFonts w:ascii="inherit" w:eastAsia="Times New Roman" w:hAnsi="inherit" w:cs="Arial"/>
          <w:i/>
          <w:iCs/>
          <w:color w:val="6C706F"/>
          <w:sz w:val="23"/>
          <w:szCs w:val="23"/>
          <w:bdr w:val="none" w:sz="0" w:space="0" w:color="auto" w:frame="1"/>
        </w:rPr>
        <w:t>MTW does not mean cutting the number of households we serve</w:t>
      </w:r>
      <w:r w:rsidRPr="00DD66EF">
        <w:rPr>
          <w:rFonts w:ascii="Arial" w:eastAsia="Times New Roman" w:hAnsi="Arial" w:cs="Arial"/>
          <w:color w:val="6C706F"/>
          <w:sz w:val="23"/>
          <w:szCs w:val="23"/>
        </w:rPr>
        <w:t>. MTW requirements include continuing to assist substantially the same total number of families</w:t>
      </w:r>
    </w:p>
    <w:p w:rsidR="00F0234D" w:rsidRDefault="00F0234D" w:rsidP="00F0234D"/>
    <w:p w:rsidR="00F0234D" w:rsidRDefault="00F0234D" w:rsidP="00F023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C706F"/>
          <w:sz w:val="23"/>
          <w:szCs w:val="23"/>
        </w:rPr>
      </w:pPr>
      <w:proofErr w:type="spellStart"/>
      <w:r>
        <w:rPr>
          <w:rStyle w:val="Strong"/>
          <w:rFonts w:ascii="Arial" w:hAnsi="Arial" w:cs="Arial"/>
          <w:color w:val="377D96"/>
          <w:sz w:val="23"/>
          <w:szCs w:val="23"/>
          <w:bdr w:val="none" w:sz="0" w:space="0" w:color="auto" w:frame="1"/>
        </w:rPr>
        <w:t>MtW</w:t>
      </w:r>
      <w:proofErr w:type="spellEnd"/>
      <w:r>
        <w:rPr>
          <w:rStyle w:val="Strong"/>
          <w:rFonts w:ascii="Arial" w:hAnsi="Arial" w:cs="Arial"/>
          <w:color w:val="377D96"/>
          <w:sz w:val="23"/>
          <w:szCs w:val="23"/>
          <w:bdr w:val="none" w:sz="0" w:space="0" w:color="auto" w:frame="1"/>
        </w:rPr>
        <w:t xml:space="preserve"> Objectives </w:t>
      </w:r>
    </w:p>
    <w:p w:rsidR="00F0234D" w:rsidRDefault="00F0234D" w:rsidP="00F023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C706F"/>
          <w:sz w:val="23"/>
          <w:szCs w:val="23"/>
        </w:rPr>
      </w:pPr>
      <w:r>
        <w:rPr>
          <w:rStyle w:val="Emphasis"/>
          <w:rFonts w:ascii="inherit" w:hAnsi="inherit" w:cs="Arial"/>
          <w:color w:val="6C706F"/>
          <w:sz w:val="23"/>
          <w:szCs w:val="23"/>
          <w:bdr w:val="none" w:sz="0" w:space="0" w:color="auto" w:frame="1"/>
        </w:rPr>
        <w:t>Cost Effectiveness</w:t>
      </w:r>
      <w:r>
        <w:rPr>
          <w:rFonts w:ascii="Arial" w:hAnsi="Arial" w:cs="Arial"/>
          <w:color w:val="6C706F"/>
          <w:sz w:val="23"/>
          <w:szCs w:val="23"/>
        </w:rPr>
        <w:t>: Improve efficiency, reduce costs, leverage other funds, changes in staffing &amp; resources</w:t>
      </w:r>
      <w:r>
        <w:rPr>
          <w:rFonts w:ascii="Arial" w:hAnsi="Arial" w:cs="Arial"/>
          <w:color w:val="6C706F"/>
          <w:sz w:val="23"/>
          <w:szCs w:val="23"/>
        </w:rPr>
        <w:br/>
      </w:r>
      <w:r>
        <w:rPr>
          <w:rStyle w:val="Emphasis"/>
          <w:rFonts w:ascii="inherit" w:hAnsi="inherit" w:cs="Arial"/>
          <w:color w:val="6C706F"/>
          <w:sz w:val="23"/>
          <w:szCs w:val="23"/>
          <w:bdr w:val="none" w:sz="0" w:space="0" w:color="auto" w:frame="1"/>
        </w:rPr>
        <w:t>Self Sufficiency</w:t>
      </w:r>
      <w:r>
        <w:rPr>
          <w:rFonts w:ascii="Arial" w:hAnsi="Arial" w:cs="Arial"/>
          <w:color w:val="6C706F"/>
          <w:sz w:val="23"/>
          <w:szCs w:val="23"/>
        </w:rPr>
        <w:t>: Incentivize employment and self-sufficiency for voucher households</w:t>
      </w:r>
      <w:r>
        <w:rPr>
          <w:rFonts w:ascii="Arial" w:hAnsi="Arial" w:cs="Arial"/>
          <w:color w:val="6C706F"/>
          <w:sz w:val="23"/>
          <w:szCs w:val="23"/>
        </w:rPr>
        <w:br/>
      </w:r>
      <w:r>
        <w:rPr>
          <w:rStyle w:val="Emphasis"/>
          <w:rFonts w:ascii="inherit" w:hAnsi="inherit" w:cs="Arial"/>
          <w:color w:val="6C706F"/>
          <w:sz w:val="23"/>
          <w:szCs w:val="23"/>
          <w:bdr w:val="none" w:sz="0" w:space="0" w:color="auto" w:frame="1"/>
        </w:rPr>
        <w:t>Housing Choice</w:t>
      </w:r>
      <w:r>
        <w:rPr>
          <w:rFonts w:ascii="Arial" w:hAnsi="Arial" w:cs="Arial"/>
          <w:color w:val="6C706F"/>
          <w:sz w:val="23"/>
          <w:szCs w:val="23"/>
        </w:rPr>
        <w:t>: Increase mobility and access to address housing quality, neighborhood safety, access to community resources, and supportive services</w:t>
      </w:r>
    </w:p>
    <w:p w:rsidR="00F0234D" w:rsidRDefault="00F0234D" w:rsidP="00F0234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6C706F"/>
          <w:sz w:val="23"/>
          <w:szCs w:val="23"/>
        </w:rPr>
      </w:pPr>
      <w:r>
        <w:rPr>
          <w:rFonts w:ascii="Arial" w:hAnsi="Arial" w:cs="Arial"/>
          <w:color w:val="6C706F"/>
          <w:sz w:val="23"/>
          <w:szCs w:val="23"/>
        </w:rPr>
        <w:t>* Objectives set by statute</w:t>
      </w:r>
    </w:p>
    <w:p w:rsidR="00F0234D" w:rsidRDefault="00F0234D" w:rsidP="00C2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F0234D" w:rsidRDefault="00F0234D" w:rsidP="00C2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F0234D" w:rsidRDefault="00F0234D" w:rsidP="00C2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C20ECD" w:rsidRDefault="00C20ECD" w:rsidP="00C2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Moving To Work Meetings</w:t>
      </w:r>
    </w:p>
    <w:p w:rsidR="0025690C" w:rsidRDefault="0025690C" w:rsidP="00C2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20ECD" w:rsidRPr="00C20ECD" w:rsidRDefault="00C20ECD" w:rsidP="00C2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10/05/2020</w:t>
      </w:r>
    </w:p>
    <w:p w:rsidR="00303B35" w:rsidRDefault="00E97981" w:rsidP="00C2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Guided </w:t>
      </w:r>
      <w:r w:rsidR="00303B35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303B35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best way to provide documents for verification?</w:t>
      </w:r>
    </w:p>
    <w:p w:rsidR="00303B35" w:rsidRDefault="00303B35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– Denson, Benson, Jones</w:t>
      </w:r>
    </w:p>
    <w:p w:rsidR="00303B35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assistance with transportation?</w:t>
      </w:r>
    </w:p>
    <w:p w:rsidR="00303B35" w:rsidRDefault="00303B35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couple said yes (they know someone that needs help with transportation)</w:t>
      </w:r>
    </w:p>
    <w:p w:rsidR="00303B35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would be helpful for appointments? (online, 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</w:p>
    <w:p w:rsidR="00E97981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implementation of verification?</w:t>
      </w:r>
    </w:p>
    <w:p w:rsidR="00303B35" w:rsidRDefault="00303B35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E97981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it would be helpful to assist in finding employment?</w:t>
      </w:r>
    </w:p>
    <w:p w:rsidR="00303B35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03B35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challenges in finding employment?  Not enough education (need GED or high school diploma)</w:t>
      </w:r>
    </w:p>
    <w:p w:rsidR="00E97981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notification of rent notices, etc.  Did they know?</w:t>
      </w:r>
    </w:p>
    <w:p w:rsidR="00303B35" w:rsidRDefault="00303B35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said no.</w:t>
      </w:r>
    </w:p>
    <w:p w:rsidR="00E97981" w:rsidRDefault="00303B35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they feel if we performed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recertifications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every two to three years?</w:t>
      </w:r>
    </w:p>
    <w:p w:rsidR="00303B35" w:rsidRDefault="00303B35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said yes.</w:t>
      </w:r>
    </w:p>
    <w:p w:rsidR="00E97981" w:rsidRDefault="00E97981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childcare?  Is it still an issue with them being home?</w:t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</w:t>
      </w:r>
    </w:p>
    <w:p w:rsidR="00E97981" w:rsidRDefault="00E97981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after typical childcare hours?</w:t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said yes.</w:t>
      </w:r>
    </w:p>
    <w:p w:rsidR="00E97981" w:rsidRDefault="00E97981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hard is it to get verifications?  (bank statements, check stubs, etc.)</w:t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said yes</w:t>
      </w:r>
    </w:p>
    <w:p w:rsidR="00E97981" w:rsidRDefault="00E97981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medical care?  What are the options?</w:t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medical, but hard to get in with them.</w:t>
      </w:r>
    </w:p>
    <w:p w:rsidR="00E97981" w:rsidRDefault="00E97981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furthering education?  (not 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or GED)  What type of counseling would help?  (financial education, personal growth, etc.)</w:t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interest in this!</w:t>
      </w:r>
    </w:p>
    <w:p w:rsidR="00E97981" w:rsidRDefault="00E97981" w:rsidP="00C2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food security issues?</w:t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E97981" w:rsidRDefault="00E97981" w:rsidP="00C2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98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Participant Input and Questions</w:t>
      </w:r>
    </w:p>
    <w:p w:rsidR="00E97981" w:rsidRDefault="00E97981" w:rsidP="00C20EC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7981" w:rsidRDefault="00E97981" w:rsidP="00C20E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Homes</w:t>
      </w:r>
      <w:r w:rsidR="00051CA2">
        <w:rPr>
          <w:rFonts w:ascii="Times New Roman" w:hAnsi="Times New Roman" w:cs="Times New Roman"/>
          <w:sz w:val="24"/>
          <w:szCs w:val="24"/>
        </w:rPr>
        <w:t>.  Are there other programs for Home Ownership?</w:t>
      </w:r>
    </w:p>
    <w:p w:rsidR="00051CA2" w:rsidRDefault="00051CA2" w:rsidP="00C20EC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Yes.  AHA is working on that, but the MTW Program can also help with down payments, etc.</w:t>
      </w:r>
    </w:p>
    <w:p w:rsidR="00C20ECD" w:rsidRDefault="00C20ECD" w:rsidP="00C20EC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0ECD" w:rsidRPr="00C20ECD" w:rsidRDefault="00C20ECD" w:rsidP="00C20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10/12/2020</w:t>
      </w:r>
    </w:p>
    <w:p w:rsidR="00C20ECD" w:rsidRDefault="00C20ECD" w:rsidP="00C2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Guided Questions</w:t>
      </w:r>
    </w:p>
    <w:p w:rsidR="00C20ECD" w:rsidRDefault="00C20ECD" w:rsidP="00C20E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does success mean to you?</w:t>
      </w:r>
    </w:p>
    <w:p w:rsidR="00C20ECD" w:rsidRPr="00C20ECD" w:rsidRDefault="0025690C" w:rsidP="00C20ECD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participants on conference call</w:t>
      </w:r>
    </w:p>
    <w:p w:rsidR="00C20ECD" w:rsidRDefault="00C20ECD" w:rsidP="00C20E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your goals?</w:t>
      </w:r>
    </w:p>
    <w:p w:rsidR="00C20ECD" w:rsidRPr="0025690C" w:rsidRDefault="0025690C" w:rsidP="0025690C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participants on conference call</w:t>
      </w:r>
    </w:p>
    <w:p w:rsidR="00C20ECD" w:rsidRDefault="00C20ECD" w:rsidP="00C20E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your education goals?</w:t>
      </w:r>
    </w:p>
    <w:p w:rsidR="00C20ECD" w:rsidRPr="0025690C" w:rsidRDefault="0025690C" w:rsidP="0025690C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participants on conference call</w:t>
      </w:r>
    </w:p>
    <w:p w:rsidR="00C20ECD" w:rsidRDefault="00C20ECD" w:rsidP="00C20E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some of the barriers keeping you from obtaining those goals?</w:t>
      </w:r>
    </w:p>
    <w:p w:rsidR="0025690C" w:rsidRPr="00C20ECD" w:rsidRDefault="0025690C" w:rsidP="0025690C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participants on conference call</w:t>
      </w:r>
    </w:p>
    <w:p w:rsidR="00C20ECD" w:rsidRDefault="00C20ECD" w:rsidP="00C20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ECD">
        <w:rPr>
          <w:rFonts w:ascii="Times New Roman" w:hAnsi="Times New Roman" w:cs="Times New Roman"/>
          <w:b/>
          <w:bCs/>
          <w:sz w:val="24"/>
          <w:szCs w:val="24"/>
          <w:u w:val="single"/>
        </w:rPr>
        <w:t>Participant Input and Questions</w:t>
      </w:r>
    </w:p>
    <w:p w:rsidR="00C20ECD" w:rsidRPr="00C20ECD" w:rsidRDefault="0025690C" w:rsidP="00C20E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participants on conference call</w:t>
      </w:r>
    </w:p>
    <w:sectPr w:rsidR="00C20ECD" w:rsidRPr="00C2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505"/>
    <w:multiLevelType w:val="hybridMultilevel"/>
    <w:tmpl w:val="FD84466C"/>
    <w:lvl w:ilvl="0" w:tplc="BB706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4D30"/>
    <w:multiLevelType w:val="hybridMultilevel"/>
    <w:tmpl w:val="6ABC3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D8F"/>
    <w:multiLevelType w:val="multilevel"/>
    <w:tmpl w:val="1D94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B60909"/>
    <w:multiLevelType w:val="hybridMultilevel"/>
    <w:tmpl w:val="2C4E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6A3"/>
    <w:multiLevelType w:val="hybridMultilevel"/>
    <w:tmpl w:val="FE4E8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3602A"/>
    <w:multiLevelType w:val="multilevel"/>
    <w:tmpl w:val="FDF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35"/>
    <w:rsid w:val="00051CA2"/>
    <w:rsid w:val="0025690C"/>
    <w:rsid w:val="00303B35"/>
    <w:rsid w:val="008419F5"/>
    <w:rsid w:val="00C20ECD"/>
    <w:rsid w:val="00E97981"/>
    <w:rsid w:val="00F0234D"/>
    <w:rsid w:val="00F13CF9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F8EDC4"/>
  <w15:chartTrackingRefBased/>
  <w15:docId w15:val="{E82E841B-0723-4BA8-92B7-954D9EF1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34D"/>
    <w:rPr>
      <w:b/>
      <w:bCs/>
    </w:rPr>
  </w:style>
  <w:style w:type="character" w:styleId="Emphasis">
    <w:name w:val="Emphasis"/>
    <w:basedOn w:val="DefaultParagraphFont"/>
    <w:uiPriority w:val="20"/>
    <w:qFormat/>
    <w:rsid w:val="00F02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Squiers</dc:creator>
  <cp:keywords/>
  <dc:description/>
  <cp:lastModifiedBy>Star Paschal</cp:lastModifiedBy>
  <cp:revision>3</cp:revision>
  <dcterms:created xsi:type="dcterms:W3CDTF">2020-10-12T21:14:00Z</dcterms:created>
  <dcterms:modified xsi:type="dcterms:W3CDTF">2020-10-12T21:24:00Z</dcterms:modified>
</cp:coreProperties>
</file>